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1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3276"/>
        <w:gridCol w:w="1134"/>
        <w:gridCol w:w="690"/>
        <w:gridCol w:w="444"/>
        <w:gridCol w:w="6"/>
        <w:gridCol w:w="1030"/>
        <w:gridCol w:w="2366"/>
        <w:gridCol w:w="1275"/>
        <w:gridCol w:w="119"/>
        <w:gridCol w:w="165"/>
        <w:gridCol w:w="866"/>
      </w:tblGrid>
      <w:tr w:rsidR="00E56412" w:rsidRPr="009C7322" w:rsidTr="00127312">
        <w:trPr>
          <w:trHeight w:val="375"/>
        </w:trPr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412" w:rsidRPr="009C7322" w:rsidRDefault="00E56412" w:rsidP="009C7322">
            <w:pPr>
              <w:spacing w:line="240" w:lineRule="auto"/>
              <w:jc w:val="left"/>
              <w:rPr>
                <w:rFonts w:ascii="Czcionka tekstu podstawowego" w:eastAsia="Times New Roman" w:hAnsi="Czcionka tekstu podstawowego"/>
                <w:bCs/>
                <w:color w:val="000000"/>
                <w:szCs w:val="28"/>
                <w:lang w:eastAsia="pl-PL"/>
              </w:rPr>
            </w:pPr>
            <w:r w:rsidRPr="009C7322">
              <w:rPr>
                <w:rFonts w:ascii="Czcionka tekstu podstawowego" w:eastAsia="Times New Roman" w:hAnsi="Czcionka tekstu podstawowego"/>
                <w:bCs/>
                <w:color w:val="000000"/>
                <w:szCs w:val="28"/>
                <w:lang w:eastAsia="pl-PL"/>
              </w:rPr>
              <w:t>Stowarzyszenie Rodów Jaworskich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412" w:rsidRPr="009C7322" w:rsidRDefault="00E56412" w:rsidP="009C7322">
            <w:pPr>
              <w:spacing w:line="240" w:lineRule="auto"/>
              <w:jc w:val="left"/>
              <w:rPr>
                <w:rFonts w:ascii="Calibri" w:eastAsia="Times New Roman" w:hAnsi="Calibri"/>
                <w:bCs/>
                <w:color w:val="000000"/>
                <w:szCs w:val="28"/>
                <w:lang w:eastAsia="pl-PL"/>
              </w:rPr>
            </w:pPr>
          </w:p>
        </w:tc>
        <w:tc>
          <w:tcPr>
            <w:tcW w:w="4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12" w:rsidRPr="009C7322" w:rsidRDefault="00E56412" w:rsidP="00E56412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szCs w:val="28"/>
                <w:lang w:eastAsia="pl-PL"/>
              </w:rPr>
            </w:pPr>
            <w:r w:rsidRPr="003526D4">
              <w:rPr>
                <w:rFonts w:ascii="Calibri" w:eastAsia="Times New Roman" w:hAnsi="Calibri"/>
                <w:bCs/>
                <w:color w:val="000000"/>
                <w:szCs w:val="28"/>
                <w:lang w:eastAsia="pl-PL"/>
              </w:rPr>
              <w:t>Gdynia, dnia  28-01-2017</w:t>
            </w:r>
          </w:p>
        </w:tc>
      </w:tr>
      <w:tr w:rsidR="009C7322" w:rsidRPr="009C7322" w:rsidTr="00127312">
        <w:trPr>
          <w:trHeight w:val="375"/>
        </w:trPr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Cs/>
                <w:color w:val="000000"/>
                <w:sz w:val="24"/>
                <w:szCs w:val="28"/>
                <w:lang w:eastAsia="pl-PL"/>
              </w:rPr>
            </w:pPr>
            <w:r w:rsidRPr="009C7322">
              <w:rPr>
                <w:rFonts w:ascii="Calibri" w:eastAsia="Times New Roman" w:hAnsi="Calibri"/>
                <w:bCs/>
                <w:color w:val="000000"/>
                <w:sz w:val="24"/>
                <w:szCs w:val="28"/>
                <w:lang w:eastAsia="pl-PL"/>
              </w:rPr>
              <w:t>ul. Z. Herberta 7 m. 43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Cs/>
                <w:color w:val="000000"/>
                <w:szCs w:val="28"/>
                <w:lang w:eastAsia="pl-PL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</w:p>
        </w:tc>
      </w:tr>
      <w:tr w:rsidR="009C7322" w:rsidRPr="009C7322" w:rsidTr="00127312">
        <w:trPr>
          <w:trHeight w:val="375"/>
        </w:trPr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Cs/>
                <w:color w:val="000000"/>
                <w:sz w:val="24"/>
                <w:szCs w:val="28"/>
                <w:lang w:eastAsia="pl-PL"/>
              </w:rPr>
            </w:pPr>
            <w:r w:rsidRPr="009C7322">
              <w:rPr>
                <w:rFonts w:ascii="Calibri" w:eastAsia="Times New Roman" w:hAnsi="Calibri"/>
                <w:bCs/>
                <w:color w:val="000000"/>
                <w:sz w:val="24"/>
                <w:szCs w:val="28"/>
                <w:lang w:eastAsia="pl-PL"/>
              </w:rPr>
              <w:t>81-475 Gdynia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Cs/>
                <w:color w:val="000000"/>
                <w:szCs w:val="28"/>
                <w:lang w:eastAsia="pl-PL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</w:p>
        </w:tc>
      </w:tr>
      <w:tr w:rsidR="009C7322" w:rsidRPr="009C7322" w:rsidTr="00127312">
        <w:trPr>
          <w:trHeight w:val="375"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Cs/>
                <w:color w:val="000000"/>
                <w:sz w:val="24"/>
                <w:szCs w:val="28"/>
                <w:lang w:eastAsia="pl-PL"/>
              </w:rPr>
            </w:pPr>
            <w:r w:rsidRPr="009C7322">
              <w:rPr>
                <w:rFonts w:ascii="Calibri" w:eastAsia="Times New Roman" w:hAnsi="Calibri"/>
                <w:bCs/>
                <w:color w:val="000000"/>
                <w:sz w:val="24"/>
                <w:szCs w:val="28"/>
                <w:lang w:eastAsia="pl-PL"/>
              </w:rPr>
              <w:t>KRS: 0000240329    NIP: 586 215 45 77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</w:p>
        </w:tc>
      </w:tr>
      <w:tr w:rsidR="00D73D5D" w:rsidRPr="009C7322" w:rsidTr="00127312">
        <w:trPr>
          <w:trHeight w:val="779"/>
        </w:trPr>
        <w:tc>
          <w:tcPr>
            <w:tcW w:w="1137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5D" w:rsidRPr="009C7322" w:rsidRDefault="00D73D5D" w:rsidP="00D73D5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  <w:sz w:val="40"/>
                <w:szCs w:val="40"/>
                <w:lang w:eastAsia="pl-PL"/>
              </w:rPr>
            </w:pPr>
            <w:r w:rsidRPr="009C7322">
              <w:rPr>
                <w:rFonts w:ascii="Czcionka tekstu podstawowego" w:eastAsia="Times New Roman" w:hAnsi="Czcionka tekstu podstawowego"/>
                <w:bCs/>
                <w:color w:val="000000"/>
                <w:sz w:val="40"/>
                <w:szCs w:val="40"/>
                <w:lang w:eastAsia="pl-PL"/>
              </w:rPr>
              <w:t>BILANS</w:t>
            </w:r>
          </w:p>
          <w:p w:rsidR="00D73D5D" w:rsidRPr="009C7322" w:rsidRDefault="00D73D5D" w:rsidP="00D73D5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  <w:sz w:val="40"/>
                <w:szCs w:val="40"/>
                <w:lang w:eastAsia="pl-PL"/>
              </w:rPr>
            </w:pPr>
            <w:r w:rsidRPr="009C732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na dzień 31.</w:t>
            </w:r>
            <w:r w:rsidRPr="00E5641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</w:t>
            </w:r>
            <w:r w:rsidRPr="009C732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12.</w:t>
            </w:r>
            <w:r w:rsidRPr="00E5641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</w:t>
            </w:r>
            <w:r w:rsidRPr="009C732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2016</w:t>
            </w:r>
          </w:p>
        </w:tc>
      </w:tr>
      <w:tr w:rsidR="009C7322" w:rsidRPr="009C7322" w:rsidTr="00127312">
        <w:trPr>
          <w:trHeight w:val="412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center"/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>AKTYWA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center"/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>Stan na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center"/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>PASYWA</w:t>
            </w:r>
          </w:p>
        </w:tc>
        <w:tc>
          <w:tcPr>
            <w:tcW w:w="24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center"/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>Stan na</w:t>
            </w:r>
          </w:p>
        </w:tc>
      </w:tr>
      <w:tr w:rsidR="00E56412" w:rsidRPr="009C7322" w:rsidTr="00127312">
        <w:trPr>
          <w:trHeight w:val="546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center"/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>okres bież.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</w:pPr>
            <w:r w:rsidRPr="009C7322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  <w:t xml:space="preserve">rok </w:t>
            </w:r>
            <w:proofErr w:type="spellStart"/>
            <w:r w:rsidRPr="009C7322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  <w:t>poprz</w:t>
            </w:r>
            <w:proofErr w:type="spellEnd"/>
            <w:r w:rsidRPr="009C7322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center"/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>okres bież.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</w:pPr>
            <w:r w:rsidRPr="009C7322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  <w:t xml:space="preserve">rok </w:t>
            </w:r>
            <w:proofErr w:type="spellStart"/>
            <w:r w:rsidRPr="009C7322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  <w:t>poprz</w:t>
            </w:r>
            <w:proofErr w:type="spellEnd"/>
            <w:r w:rsidRPr="009C7322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E56412" w:rsidRPr="009C7322" w:rsidTr="00127312">
        <w:trPr>
          <w:trHeight w:val="54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 xml:space="preserve"> A. Aktywa trwałe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 xml:space="preserve">                  -   </w:t>
            </w:r>
            <w:r w:rsidRPr="009C7322"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</w:pPr>
            <w:r w:rsidRPr="009C7322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  <w:t xml:space="preserve">                       -  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 xml:space="preserve"> A. Fundusze własne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E56412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 xml:space="preserve"> 1 425,14 zł 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E56412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</w:pPr>
            <w:r w:rsidRPr="009C7322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  <w:t xml:space="preserve"> 7413,17 zł </w:t>
            </w:r>
          </w:p>
        </w:tc>
      </w:tr>
      <w:tr w:rsidR="00E56412" w:rsidRPr="009C7322" w:rsidTr="00127312">
        <w:trPr>
          <w:trHeight w:val="56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I. Wartości niematerialne</w:t>
            </w: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br/>
              <w:t xml:space="preserve">   i prawne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righ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  -   </w:t>
            </w: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center"/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  <w:t xml:space="preserve">                       -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I. Fundusz założycielski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                  -   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E56412" w:rsidP="009C732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1338F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                    -  </w:t>
            </w:r>
            <w:r w:rsidR="009C7322" w:rsidRPr="009C7322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56412" w:rsidRPr="009C7322" w:rsidTr="00127312">
        <w:trPr>
          <w:trHeight w:val="553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II. Rzeczowe aktywa trwałe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righ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                -   </w:t>
            </w: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right"/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  <w:t xml:space="preserve">               -   </w:t>
            </w:r>
            <w:r w:rsidRPr="009C7322"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II. Fundusz z aktualizacji wyceny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                  -  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E5641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9C7322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                    -   </w:t>
            </w:r>
          </w:p>
        </w:tc>
      </w:tr>
      <w:tr w:rsidR="00E56412" w:rsidRPr="009C7322" w:rsidTr="00127312">
        <w:trPr>
          <w:trHeight w:val="54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III. Należności długoterminowe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81338F">
            <w:pPr>
              <w:spacing w:line="240" w:lineRule="auto"/>
              <w:jc w:val="righ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                   </w:t>
            </w: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81338F" w:rsidP="0081338F">
            <w:pPr>
              <w:spacing w:line="240" w:lineRule="auto"/>
              <w:jc w:val="right"/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 w:rsidR="009C7322"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9C7322" w:rsidRPr="009C7322"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1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III. Wynik finansowy netto za rok </w:t>
            </w:r>
          </w:p>
          <w:p w:rsidR="009C7322" w:rsidRPr="009C7322" w:rsidRDefault="00E5641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      </w:t>
            </w:r>
            <w:proofErr w:type="spellStart"/>
            <w:r w:rsid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>obr</w:t>
            </w:r>
            <w:r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>otow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E56412" w:rsidP="0081338F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81338F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- </w:t>
            </w:r>
            <w:r w:rsidR="009C7322" w:rsidRPr="009C732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5 988,03 zł 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9C7322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 1 049,94 zł </w:t>
            </w:r>
          </w:p>
        </w:tc>
      </w:tr>
      <w:tr w:rsidR="00E56412" w:rsidRPr="009C7322" w:rsidTr="00127312">
        <w:trPr>
          <w:trHeight w:val="5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IV. Inwestycje długoterminowe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righ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                -   </w:t>
            </w: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right"/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  <w:t xml:space="preserve">                       -  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   1. Nadwyżka przychodów nad </w:t>
            </w: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br/>
              <w:t xml:space="preserve">      kosztami (wielkość dodatnia)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                  -   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E56412" w:rsidP="009C732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1338F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                    -   </w:t>
            </w:r>
            <w:r w:rsidR="009C7322" w:rsidRPr="009C7322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56412" w:rsidRPr="009C7322" w:rsidTr="00127312">
        <w:trPr>
          <w:trHeight w:val="57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V. Długoterminowe rozliczenia</w:t>
            </w: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br/>
              <w:t xml:space="preserve">   międzyokresowe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righ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                -   </w:t>
            </w: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right"/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  <w:t xml:space="preserve">                       -  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   2. Nadwyżka kosztów nad </w:t>
            </w: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br/>
              <w:t xml:space="preserve">      przychodami (wartość ujemna)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81338F" w:rsidP="0081338F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81338F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- </w:t>
            </w:r>
            <w:r w:rsidR="009C7322" w:rsidRPr="009C732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5 988,03 zł 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81338F" w:rsidP="009C732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1338F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C7322" w:rsidRPr="009C7322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 1 049,94 zł </w:t>
            </w:r>
          </w:p>
        </w:tc>
      </w:tr>
      <w:tr w:rsidR="00E56412" w:rsidRPr="009C7322" w:rsidTr="00127312">
        <w:trPr>
          <w:trHeight w:val="391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righ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right"/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IV. Zysk (strata) z lat ubiegłych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81338F" w:rsidP="009C7322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81338F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 </w:t>
            </w:r>
            <w:r w:rsidR="009C7322" w:rsidRPr="009C732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7 413,17 zł 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81338F" w:rsidP="009C732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1338F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9C7322" w:rsidRPr="009C7322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6 363,23 zł </w:t>
            </w:r>
          </w:p>
        </w:tc>
      </w:tr>
      <w:tr w:rsidR="00E56412" w:rsidRPr="009C7322" w:rsidTr="00127312">
        <w:trPr>
          <w:trHeight w:val="54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 xml:space="preserve"> B. Aktywa obrotowe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E56412">
            <w:pPr>
              <w:spacing w:line="240" w:lineRule="auto"/>
              <w:jc w:val="center"/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 xml:space="preserve">1 425,14 zł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E56412" w:rsidP="009C7322">
            <w:pPr>
              <w:spacing w:line="240" w:lineRule="auto"/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9C7322" w:rsidRPr="009C7322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  <w:t xml:space="preserve">7 413,17 zł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 xml:space="preserve"> B. Zobowiązania i rezerwy na </w:t>
            </w:r>
            <w:r w:rsidRPr="009C7322"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br/>
              <w:t xml:space="preserve"> zobowiązania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D73D5D">
            <w:pPr>
              <w:spacing w:line="240" w:lineRule="auto"/>
              <w:jc w:val="right"/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 xml:space="preserve">                    </w:t>
            </w:r>
          </w:p>
        </w:tc>
        <w:tc>
          <w:tcPr>
            <w:tcW w:w="11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D73D5D">
            <w:pPr>
              <w:spacing w:line="240" w:lineRule="auto"/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</w:pPr>
            <w:r w:rsidRPr="009C7322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</w:p>
        </w:tc>
      </w:tr>
      <w:tr w:rsidR="00E56412" w:rsidRPr="009C7322" w:rsidTr="00127312">
        <w:trPr>
          <w:trHeight w:val="54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I. Zapasy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right"/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  <w:t xml:space="preserve">                       -   </w:t>
            </w:r>
            <w:r w:rsidRPr="009C7322"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I. Zobowiązania długoterminowe z </w:t>
            </w: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br/>
              <w:t xml:space="preserve">   tytułów kredytów i pożyczek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8F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                -  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81338F">
            <w:pPr>
              <w:spacing w:line="240" w:lineRule="auto"/>
              <w:jc w:val="right"/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  <w:t xml:space="preserve">                    -    </w:t>
            </w:r>
          </w:p>
        </w:tc>
      </w:tr>
      <w:tr w:rsidR="00E56412" w:rsidRPr="009C7322" w:rsidTr="00127312">
        <w:trPr>
          <w:trHeight w:val="56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   </w:t>
            </w: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1.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right"/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  <w:t xml:space="preserve">                       -   </w:t>
            </w:r>
            <w:r w:rsidRPr="009C7322"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1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II. Zobowiązania krótkoterminowe </w:t>
            </w:r>
          </w:p>
          <w:p w:rsidR="009C7322" w:rsidRPr="009C7322" w:rsidRDefault="00E56412" w:rsidP="00E5641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     </w:t>
            </w:r>
            <w:r w:rsidR="009C7322"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>i    fundusze specjalne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81338F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                -   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81338F">
            <w:pPr>
              <w:spacing w:line="240" w:lineRule="auto"/>
              <w:jc w:val="right"/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  <w:t xml:space="preserve">                    -   </w:t>
            </w:r>
          </w:p>
        </w:tc>
      </w:tr>
      <w:tr w:rsidR="00E56412" w:rsidRPr="009C7322" w:rsidTr="00127312">
        <w:trPr>
          <w:trHeight w:val="40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</w:t>
            </w:r>
            <w:r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 2. Półprodukty i produkty w to.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</w:t>
            </w:r>
            <w:r w:rsidR="0081338F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           </w:t>
            </w: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81338F">
            <w:pPr>
              <w:spacing w:line="240" w:lineRule="auto"/>
              <w:jc w:val="right"/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   1. Kredyty i pożyczki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81338F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                -   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81338F">
            <w:pPr>
              <w:spacing w:line="240" w:lineRule="auto"/>
              <w:jc w:val="right"/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  <w:t xml:space="preserve">                    -    </w:t>
            </w:r>
          </w:p>
        </w:tc>
      </w:tr>
      <w:tr w:rsidR="00E56412" w:rsidRPr="009C7322" w:rsidTr="00127312">
        <w:trPr>
          <w:trHeight w:val="42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   3. Produkty gotowe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81338F">
            <w:pPr>
              <w:spacing w:line="240" w:lineRule="auto"/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  <w:t xml:space="preserve">    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   2. Inne zobowiązania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81338F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      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81338F">
            <w:pPr>
              <w:spacing w:line="240" w:lineRule="auto"/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  <w:t xml:space="preserve">                  </w:t>
            </w:r>
          </w:p>
        </w:tc>
      </w:tr>
      <w:tr w:rsidR="00E56412" w:rsidRPr="009C7322" w:rsidTr="00127312">
        <w:trPr>
          <w:trHeight w:val="43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   4. Towary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81338F">
            <w:pPr>
              <w:spacing w:line="240" w:lineRule="auto"/>
              <w:jc w:val="right"/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  <w:t xml:space="preserve">                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   3. Fundusze specjalne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81338F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               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81338F" w:rsidP="0081338F">
            <w:pPr>
              <w:spacing w:line="240" w:lineRule="auto"/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  <w:t xml:space="preserve">                     </w:t>
            </w:r>
            <w:r w:rsidR="009C7322" w:rsidRPr="009C7322"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56412" w:rsidRPr="009C7322" w:rsidTr="00127312">
        <w:trPr>
          <w:trHeight w:val="52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II. Należności krótkoterminowe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</w:p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81338F">
            <w:pPr>
              <w:spacing w:line="240" w:lineRule="auto"/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III. Rezerwy na zobowiązania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81338F" w:rsidP="00D73D5D">
            <w:pPr>
              <w:spacing w:line="240" w:lineRule="auto"/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C7322" w:rsidRPr="009C7322"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56412" w:rsidRPr="009C7322" w:rsidTr="00127312">
        <w:trPr>
          <w:trHeight w:val="55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III. Inwestycje krótkoterminowe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E56412" w:rsidP="00127312">
            <w:pPr>
              <w:spacing w:line="240" w:lineRule="auto"/>
              <w:ind w:left="-85" w:firstLine="85"/>
              <w:jc w:val="lef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1 425,14</w:t>
            </w:r>
            <w:r w:rsidR="0012731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</w:t>
            </w:r>
            <w:r w:rsidR="009C7322" w:rsidRPr="009C732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zł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127312">
            <w:pPr>
              <w:spacing w:line="240" w:lineRule="auto"/>
              <w:ind w:left="-85"/>
              <w:jc w:val="lef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</w:t>
            </w:r>
            <w:r w:rsidR="0012731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</w:t>
            </w:r>
            <w:r w:rsidRPr="009C732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7 413,17</w:t>
            </w:r>
            <w:r w:rsidR="0012731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</w:t>
            </w:r>
            <w:r w:rsidRPr="009C732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zł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IV. Rozliczenia międzyokresowe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81338F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                -   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81338F">
            <w:pPr>
              <w:spacing w:line="240" w:lineRule="auto"/>
              <w:jc w:val="right"/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  <w:t xml:space="preserve">                    -   </w:t>
            </w:r>
          </w:p>
        </w:tc>
      </w:tr>
      <w:tr w:rsidR="00E56412" w:rsidRPr="009C7322" w:rsidTr="00127312">
        <w:trPr>
          <w:trHeight w:val="55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1. Środki pieniężne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1 425,14 zł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E56412" w:rsidP="00127312">
            <w:pPr>
              <w:spacing w:line="240" w:lineRule="auto"/>
              <w:ind w:left="-85" w:right="-55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</w:t>
            </w:r>
            <w:r w:rsidR="0012731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2.337,99</w:t>
            </w:r>
            <w:r w:rsidR="0012731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z</w:t>
            </w:r>
            <w:r w:rsidR="009C7322" w:rsidRPr="009C732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ł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22" w:rsidRPr="009C7322" w:rsidRDefault="009C7322" w:rsidP="00127312">
            <w:pPr>
              <w:spacing w:line="240" w:lineRule="auto"/>
              <w:ind w:hanging="85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   1. Rozliczenia międzyokresowe </w:t>
            </w: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br/>
              <w:t xml:space="preserve">      przychodów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81338F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                -   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81338F">
            <w:pPr>
              <w:spacing w:line="240" w:lineRule="auto"/>
              <w:jc w:val="right"/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  <w:t xml:space="preserve">                    -    </w:t>
            </w:r>
          </w:p>
        </w:tc>
      </w:tr>
      <w:tr w:rsidR="00E56412" w:rsidRPr="009C7322" w:rsidTr="00127312">
        <w:trPr>
          <w:trHeight w:val="54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2. Pozostałe aktywa finansowe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5641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E5641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5 075,18 zł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22" w:rsidRPr="009C7322" w:rsidRDefault="009C7322" w:rsidP="00E5641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   2. Inne rozliczenia </w:t>
            </w:r>
            <w:proofErr w:type="spellStart"/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>międzyokr</w:t>
            </w:r>
            <w:proofErr w:type="spellEnd"/>
            <w:r w:rsidR="00E5641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81338F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                 -   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81338F">
            <w:pPr>
              <w:spacing w:line="240" w:lineRule="auto"/>
              <w:jc w:val="right"/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  <w:t xml:space="preserve">                    -    </w:t>
            </w:r>
          </w:p>
        </w:tc>
      </w:tr>
      <w:tr w:rsidR="00E56412" w:rsidRPr="009C7322" w:rsidTr="00127312">
        <w:trPr>
          <w:trHeight w:val="412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 xml:space="preserve"> C. Krótkoterminowe rozliczenia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D73D5D" w:rsidP="00D73D5D">
            <w:pPr>
              <w:spacing w:line="240" w:lineRule="auto"/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9C7322" w:rsidRPr="009C7322"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81338F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 xml:space="preserve">  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D73D5D">
            <w:pPr>
              <w:spacing w:line="240" w:lineRule="auto"/>
              <w:rPr>
                <w:rFonts w:ascii="Calibri" w:eastAsia="Times New Roman" w:hAnsi="Calibr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E56412" w:rsidRPr="009C7322" w:rsidTr="00127312">
        <w:trPr>
          <w:trHeight w:val="76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>Suma aktywów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center"/>
              <w:rPr>
                <w:rFonts w:ascii="Calibri" w:eastAsia="Times New Roman" w:hAnsi="Calibri"/>
                <w:bCs/>
                <w:color w:val="000000"/>
                <w:sz w:val="22"/>
                <w:u w:val="double"/>
                <w:lang w:eastAsia="pl-PL"/>
              </w:rPr>
            </w:pPr>
            <w:r w:rsidRPr="009C7322">
              <w:rPr>
                <w:rFonts w:ascii="Calibri" w:eastAsia="Times New Roman" w:hAnsi="Calibri"/>
                <w:bCs/>
                <w:color w:val="000000"/>
                <w:sz w:val="22"/>
                <w:u w:val="double"/>
                <w:lang w:eastAsia="pl-PL"/>
              </w:rPr>
              <w:t xml:space="preserve">1 425,14 zł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E56412" w:rsidP="009C7322">
            <w:pPr>
              <w:spacing w:line="240" w:lineRule="auto"/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  <w:u w:val="double"/>
                <w:lang w:eastAsia="pl-PL"/>
              </w:rPr>
            </w:pPr>
            <w:r w:rsidRPr="00D73D5D">
              <w:rPr>
                <w:rFonts w:ascii="Calibri" w:eastAsia="Times New Roman" w:hAnsi="Calibri"/>
                <w:bCs/>
                <w:color w:val="000000"/>
                <w:sz w:val="20"/>
                <w:szCs w:val="20"/>
                <w:u w:val="double"/>
                <w:lang w:eastAsia="pl-PL"/>
              </w:rPr>
              <w:t xml:space="preserve"> </w:t>
            </w:r>
            <w:r w:rsidR="009C7322" w:rsidRPr="009C7322">
              <w:rPr>
                <w:rFonts w:ascii="Calibri" w:eastAsia="Times New Roman" w:hAnsi="Calibri"/>
                <w:bCs/>
                <w:color w:val="000000"/>
                <w:sz w:val="20"/>
                <w:szCs w:val="20"/>
                <w:u w:val="double"/>
                <w:lang w:eastAsia="pl-PL"/>
              </w:rPr>
              <w:t xml:space="preserve"> 7 413,17 zł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>Suma pasywów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81338F" w:rsidP="0081338F">
            <w:pPr>
              <w:spacing w:line="240" w:lineRule="auto"/>
              <w:jc w:val="right"/>
              <w:rPr>
                <w:rFonts w:ascii="Calibri" w:eastAsia="Times New Roman" w:hAnsi="Calibri"/>
                <w:bCs/>
                <w:color w:val="000000"/>
                <w:sz w:val="22"/>
                <w:u w:val="double"/>
                <w:lang w:eastAsia="pl-PL"/>
              </w:rPr>
            </w:pPr>
            <w:r w:rsidRPr="00D73D5D">
              <w:rPr>
                <w:rFonts w:ascii="Calibri" w:eastAsia="Times New Roman" w:hAnsi="Calibri"/>
                <w:bCs/>
                <w:color w:val="000000"/>
                <w:sz w:val="22"/>
                <w:u w:val="double"/>
                <w:lang w:eastAsia="pl-PL"/>
              </w:rPr>
              <w:t xml:space="preserve"> </w:t>
            </w:r>
            <w:r w:rsidR="009C7322" w:rsidRPr="009C7322">
              <w:rPr>
                <w:rFonts w:ascii="Calibri" w:eastAsia="Times New Roman" w:hAnsi="Calibri"/>
                <w:bCs/>
                <w:color w:val="000000"/>
                <w:sz w:val="22"/>
                <w:u w:val="double"/>
                <w:lang w:eastAsia="pl-PL"/>
              </w:rPr>
              <w:t xml:space="preserve">1 425,14 zł </w:t>
            </w:r>
          </w:p>
        </w:tc>
        <w:tc>
          <w:tcPr>
            <w:tcW w:w="11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22" w:rsidRPr="009C7322" w:rsidRDefault="0081338F" w:rsidP="009C7322">
            <w:pPr>
              <w:spacing w:line="240" w:lineRule="auto"/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  <w:u w:val="double"/>
                <w:lang w:eastAsia="pl-PL"/>
              </w:rPr>
            </w:pPr>
            <w:r w:rsidRPr="00D73D5D">
              <w:rPr>
                <w:rFonts w:ascii="Calibri" w:eastAsia="Times New Roman" w:hAnsi="Calibri"/>
                <w:bCs/>
                <w:color w:val="000000"/>
                <w:sz w:val="20"/>
                <w:szCs w:val="20"/>
                <w:u w:val="double"/>
                <w:lang w:eastAsia="pl-PL"/>
              </w:rPr>
              <w:t xml:space="preserve"> </w:t>
            </w:r>
            <w:r w:rsidR="009C7322" w:rsidRPr="009C7322">
              <w:rPr>
                <w:rFonts w:ascii="Calibri" w:eastAsia="Times New Roman" w:hAnsi="Calibri"/>
                <w:bCs/>
                <w:color w:val="000000"/>
                <w:sz w:val="20"/>
                <w:szCs w:val="20"/>
                <w:u w:val="double"/>
                <w:lang w:eastAsia="pl-PL"/>
              </w:rPr>
              <w:t xml:space="preserve"> 7 413,17 zł </w:t>
            </w:r>
          </w:p>
        </w:tc>
      </w:tr>
      <w:tr w:rsidR="00D73D5D" w:rsidRPr="009C7322" w:rsidTr="00127312">
        <w:trPr>
          <w:trHeight w:val="312"/>
        </w:trPr>
        <w:tc>
          <w:tcPr>
            <w:tcW w:w="1137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73D5D" w:rsidRPr="00127312" w:rsidRDefault="00D73D5D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8"/>
                <w:lang w:eastAsia="pl-PL"/>
              </w:rPr>
            </w:pPr>
          </w:p>
          <w:p w:rsidR="00D73D5D" w:rsidRPr="009C7322" w:rsidRDefault="00D73D5D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16"/>
                <w:lang w:eastAsia="pl-PL"/>
              </w:rPr>
            </w:pPr>
            <w:r w:rsidRPr="009C7322"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  <w:t> </w:t>
            </w:r>
          </w:p>
        </w:tc>
      </w:tr>
      <w:tr w:rsidR="00E56412" w:rsidRPr="009C7322" w:rsidTr="00127312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322" w:rsidRPr="009C7322" w:rsidRDefault="009C7322" w:rsidP="009C732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Teresa Sokołowska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322" w:rsidRPr="009C7322" w:rsidRDefault="009C7322" w:rsidP="009C732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Sławomir w. Jaworowski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</w:p>
        </w:tc>
      </w:tr>
      <w:tr w:rsidR="00E56412" w:rsidRPr="009C7322" w:rsidTr="00127312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322" w:rsidRPr="009C7322" w:rsidRDefault="009C7322" w:rsidP="009C732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Skarbnik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322" w:rsidRPr="009C7322" w:rsidRDefault="009C7322" w:rsidP="009C732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Prezes Zarządu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</w:p>
        </w:tc>
      </w:tr>
      <w:tr w:rsidR="00127312" w:rsidRPr="009C7322" w:rsidTr="00127312">
        <w:trPr>
          <w:trHeight w:val="179"/>
        </w:trPr>
        <w:tc>
          <w:tcPr>
            <w:tcW w:w="5550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12" w:rsidRPr="009C7322" w:rsidRDefault="00127312" w:rsidP="009C7322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40"/>
                <w:lang w:eastAsia="pl-PL"/>
              </w:rPr>
            </w:pPr>
          </w:p>
        </w:tc>
        <w:tc>
          <w:tcPr>
            <w:tcW w:w="5821" w:type="dxa"/>
            <w:gridSpan w:val="6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127312" w:rsidRPr="009C7322" w:rsidRDefault="00127312" w:rsidP="009C7322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40"/>
                <w:lang w:eastAsia="pl-PL"/>
              </w:rPr>
            </w:pPr>
          </w:p>
        </w:tc>
      </w:tr>
      <w:tr w:rsidR="00E56412" w:rsidRPr="009C7322" w:rsidTr="00127312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322" w:rsidRPr="009C7322" w:rsidRDefault="009C7322" w:rsidP="009C732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Ryszard </w:t>
            </w:r>
            <w:proofErr w:type="spellStart"/>
            <w:r w:rsidRPr="009C732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Dziedzinkiewicz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</w:p>
        </w:tc>
      </w:tr>
      <w:tr w:rsidR="00E56412" w:rsidRPr="009C7322" w:rsidTr="00127312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322" w:rsidRPr="009C7322" w:rsidRDefault="009C7322" w:rsidP="009C732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C732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Prowadzący Księgę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22" w:rsidRPr="009C7322" w:rsidRDefault="009C7322" w:rsidP="009C7322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  <w:sz w:val="22"/>
                <w:lang w:eastAsia="pl-PL"/>
              </w:rPr>
            </w:pPr>
          </w:p>
        </w:tc>
      </w:tr>
    </w:tbl>
    <w:p w:rsidR="006C2E2E" w:rsidRDefault="006C2E2E" w:rsidP="00D73D5D"/>
    <w:sectPr w:rsidR="006C2E2E" w:rsidSect="00D73D5D">
      <w:pgSz w:w="11906" w:h="16838"/>
      <w:pgMar w:top="426" w:right="282" w:bottom="426" w:left="426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drawingGridHorizontalSpacing w:val="281"/>
  <w:drawingGridVerticalSpacing w:val="191"/>
  <w:displayVerticalDrawingGridEvery w:val="2"/>
  <w:characterSpacingControl w:val="doNotCompress"/>
  <w:compat/>
  <w:rsids>
    <w:rsidRoot w:val="009C7322"/>
    <w:rsid w:val="00055F53"/>
    <w:rsid w:val="00127312"/>
    <w:rsid w:val="003526D4"/>
    <w:rsid w:val="00652FC7"/>
    <w:rsid w:val="006C2E2E"/>
    <w:rsid w:val="006F3616"/>
    <w:rsid w:val="00773448"/>
    <w:rsid w:val="0081338F"/>
    <w:rsid w:val="008366EC"/>
    <w:rsid w:val="009C7322"/>
    <w:rsid w:val="00D2078E"/>
    <w:rsid w:val="00D73D5D"/>
    <w:rsid w:val="00E56412"/>
    <w:rsid w:val="00FB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6A9B-90F4-44BA-89A3-7F977BA6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2017-01-28T14:31:00Z</cp:lastPrinted>
  <dcterms:created xsi:type="dcterms:W3CDTF">2017-01-28T13:49:00Z</dcterms:created>
  <dcterms:modified xsi:type="dcterms:W3CDTF">2017-01-28T14:41:00Z</dcterms:modified>
</cp:coreProperties>
</file>